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B165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 xml:space="preserve">Strategic </w:t>
      </w:r>
      <w:proofErr w:type="gramStart"/>
      <w:r w:rsidRPr="00FE708F">
        <w:rPr>
          <w:b/>
          <w:bCs/>
        </w:rPr>
        <w:t>CTA’s</w:t>
      </w:r>
      <w:proofErr w:type="gramEnd"/>
      <w:r w:rsidRPr="00FE708F">
        <w:rPr>
          <w:b/>
          <w:bCs/>
        </w:rPr>
        <w:t xml:space="preserve"> for the IAQ Page</w:t>
      </w:r>
    </w:p>
    <w:p w14:paraId="1F5D27AA" w14:textId="77777777" w:rsidR="00FE708F" w:rsidRPr="00FE708F" w:rsidRDefault="00FE708F" w:rsidP="00FE708F">
      <w:r w:rsidRPr="00FE708F">
        <w:rPr>
          <w:i/>
          <w:iCs/>
        </w:rPr>
        <w:t>(Linking to the Enhancing IAQ Engagement page)</w:t>
      </w:r>
    </w:p>
    <w:p w14:paraId="53C77288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1. Primary CTA (Hero Section)</w:t>
      </w:r>
    </w:p>
    <w:p w14:paraId="2581BA14" w14:textId="77777777" w:rsidR="00FE708F" w:rsidRPr="00FE708F" w:rsidRDefault="00FE708F" w:rsidP="00FE708F">
      <w:r w:rsidRPr="00FE708F">
        <w:t xml:space="preserve">This should sit </w:t>
      </w:r>
      <w:r w:rsidRPr="00FE708F">
        <w:rPr>
          <w:b/>
          <w:bCs/>
        </w:rPr>
        <w:t>above the fold</w:t>
      </w:r>
      <w:r w:rsidRPr="00FE708F">
        <w:t>.</w:t>
      </w:r>
    </w:p>
    <w:p w14:paraId="7CCC4F9A" w14:textId="77777777" w:rsidR="00FE708F" w:rsidRPr="00FE708F" w:rsidRDefault="00FE708F" w:rsidP="00FE708F">
      <w:r w:rsidRPr="00FE708F">
        <w:rPr>
          <w:b/>
          <w:bCs/>
        </w:rPr>
        <w:t>CTA Button</w:t>
      </w:r>
    </w:p>
    <w:p w14:paraId="4516CBF1" w14:textId="77777777" w:rsidR="00FE708F" w:rsidRPr="00FE708F" w:rsidRDefault="00FE708F" w:rsidP="00FE708F">
      <w:r w:rsidRPr="00FE708F">
        <w:rPr>
          <w:b/>
          <w:bCs/>
        </w:rPr>
        <w:t>Explore the IAQ Engagement Framework →</w:t>
      </w:r>
    </w:p>
    <w:p w14:paraId="169AC647" w14:textId="77777777" w:rsidR="00FE708F" w:rsidRPr="00FE708F" w:rsidRDefault="00FE708F" w:rsidP="00FE708F">
      <w:r w:rsidRPr="00FE708F">
        <w:rPr>
          <w:b/>
          <w:bCs/>
        </w:rPr>
        <w:t>Supporting microcopy</w:t>
      </w:r>
    </w:p>
    <w:p w14:paraId="4AB55095" w14:textId="77777777" w:rsidR="00FE708F" w:rsidRPr="00FE708F" w:rsidRDefault="00FE708F" w:rsidP="00FE708F">
      <w:r w:rsidRPr="00FE708F">
        <w:t>See how Intelligent Account Qualification™ identifies, nurtures, and converts high-value accounts.</w:t>
      </w:r>
    </w:p>
    <w:p w14:paraId="28E14636" w14:textId="77777777" w:rsidR="00FE708F" w:rsidRPr="00FE708F" w:rsidRDefault="00FE708F" w:rsidP="00FE708F">
      <w:r w:rsidRPr="00FE708F">
        <w:t xml:space="preserve">This moves the visitor from </w:t>
      </w:r>
      <w:r w:rsidRPr="00FE708F">
        <w:rPr>
          <w:b/>
          <w:bCs/>
        </w:rPr>
        <w:t>concept → execution</w:t>
      </w:r>
      <w:r w:rsidRPr="00FE708F">
        <w:t>.</w:t>
      </w:r>
    </w:p>
    <w:p w14:paraId="654F568A" w14:textId="77777777" w:rsidR="00FE708F" w:rsidRPr="00FE708F" w:rsidRDefault="00FE708F" w:rsidP="00FE708F">
      <w:r w:rsidRPr="00FE708F">
        <w:pict w14:anchorId="13B00D7B">
          <v:rect id="_x0000_i1025" style="width:0;height:1.5pt" o:hralign="center" o:hrstd="t" o:hr="t" fillcolor="#a0a0a0" stroked="f"/>
        </w:pict>
      </w:r>
    </w:p>
    <w:p w14:paraId="2FB7CC91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2. “How IAQ Works” Section CTA</w:t>
      </w:r>
    </w:p>
    <w:p w14:paraId="392FA7C0" w14:textId="77777777" w:rsidR="00FE708F" w:rsidRPr="00FE708F" w:rsidRDefault="00FE708F" w:rsidP="00FE708F">
      <w:r w:rsidRPr="00FE708F">
        <w:t>After explaining ICP + ABS + CRM alignment.</w:t>
      </w:r>
    </w:p>
    <w:p w14:paraId="744338C1" w14:textId="77777777" w:rsidR="00FE708F" w:rsidRPr="00FE708F" w:rsidRDefault="00FE708F" w:rsidP="00FE708F">
      <w:r w:rsidRPr="00FE708F">
        <w:rPr>
          <w:b/>
          <w:bCs/>
        </w:rPr>
        <w:t>CTA</w:t>
      </w:r>
    </w:p>
    <w:p w14:paraId="51E5334E" w14:textId="77777777" w:rsidR="00FE708F" w:rsidRPr="00FE708F" w:rsidRDefault="00FE708F" w:rsidP="00FE708F">
      <w:r w:rsidRPr="00FE708F">
        <w:rPr>
          <w:b/>
          <w:bCs/>
        </w:rPr>
        <w:t>Learn How IAQ Drives Account Engagement →</w:t>
      </w:r>
    </w:p>
    <w:p w14:paraId="60EE2674" w14:textId="77777777" w:rsidR="00FE708F" w:rsidRPr="00FE708F" w:rsidRDefault="00FE708F" w:rsidP="00FE708F">
      <w:r w:rsidRPr="00FE708F">
        <w:rPr>
          <w:b/>
          <w:bCs/>
        </w:rPr>
        <w:t>Supporting line</w:t>
      </w:r>
    </w:p>
    <w:p w14:paraId="2B46184B" w14:textId="77777777" w:rsidR="00FE708F" w:rsidRPr="00FE708F" w:rsidRDefault="00FE708F" w:rsidP="00FE708F">
      <w:r w:rsidRPr="00FE708F">
        <w:t>Discover the step-by-step engagement model used to convert qualified accounts into revenue opportunities.</w:t>
      </w:r>
    </w:p>
    <w:p w14:paraId="3B1EBB28" w14:textId="77777777" w:rsidR="00FE708F" w:rsidRPr="00FE708F" w:rsidRDefault="00FE708F" w:rsidP="00FE708F">
      <w:r w:rsidRPr="00FE708F">
        <w:pict w14:anchorId="6401DBFB">
          <v:rect id="_x0000_i1026" style="width:0;height:1.5pt" o:hralign="center" o:hrstd="t" o:hr="t" fillcolor="#a0a0a0" stroked="f"/>
        </w:pict>
      </w:r>
    </w:p>
    <w:p w14:paraId="24FEB311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3. Lead Management Section CTA</w:t>
      </w:r>
    </w:p>
    <w:p w14:paraId="5A285C3B" w14:textId="77777777" w:rsidR="00FE708F" w:rsidRPr="00FE708F" w:rsidRDefault="00FE708F" w:rsidP="00FE708F">
      <w:r w:rsidRPr="00FE708F">
        <w:t>Place this after:</w:t>
      </w:r>
    </w:p>
    <w:p w14:paraId="59672118" w14:textId="77777777" w:rsidR="00FE708F" w:rsidRPr="00FE708F" w:rsidRDefault="00FE708F" w:rsidP="00FE708F">
      <w:r w:rsidRPr="00FE708F">
        <w:t>Lead Identification and Tracking</w:t>
      </w:r>
    </w:p>
    <w:p w14:paraId="646D7181" w14:textId="77777777" w:rsidR="00FE708F" w:rsidRPr="00FE708F" w:rsidRDefault="00FE708F" w:rsidP="00FE708F">
      <w:r w:rsidRPr="00FE708F">
        <w:rPr>
          <w:b/>
          <w:bCs/>
        </w:rPr>
        <w:t>CTA</w:t>
      </w:r>
    </w:p>
    <w:p w14:paraId="55A84F42" w14:textId="77777777" w:rsidR="00FE708F" w:rsidRPr="00FE708F" w:rsidRDefault="00FE708F" w:rsidP="00FE708F">
      <w:r w:rsidRPr="00FE708F">
        <w:rPr>
          <w:b/>
          <w:bCs/>
        </w:rPr>
        <w:t>See the IAQ Engagement Workflow →</w:t>
      </w:r>
    </w:p>
    <w:p w14:paraId="34F5784F" w14:textId="77777777" w:rsidR="00FE708F" w:rsidRPr="00FE708F" w:rsidRDefault="00FE708F" w:rsidP="00FE708F">
      <w:r w:rsidRPr="00FE708F">
        <w:rPr>
          <w:b/>
          <w:bCs/>
        </w:rPr>
        <w:t>Supporting line</w:t>
      </w:r>
    </w:p>
    <w:p w14:paraId="481546AA" w14:textId="77777777" w:rsidR="00FE708F" w:rsidRPr="00FE708F" w:rsidRDefault="00FE708F" w:rsidP="00FE708F">
      <w:r w:rsidRPr="00FE708F">
        <w:t>From lead capture to opportunity creation, explore how IAQ orchestrates the engagement journey.</w:t>
      </w:r>
    </w:p>
    <w:p w14:paraId="7344CB09" w14:textId="77777777" w:rsidR="00FE708F" w:rsidRPr="00FE708F" w:rsidRDefault="00FE708F" w:rsidP="00FE708F">
      <w:r w:rsidRPr="00FE708F">
        <w:lastRenderedPageBreak/>
        <w:pict w14:anchorId="36612425">
          <v:rect id="_x0000_i1027" style="width:0;height:1.5pt" o:hralign="center" o:hrstd="t" o:hr="t" fillcolor="#a0a0a0" stroked="f"/>
        </w:pict>
      </w:r>
    </w:p>
    <w:p w14:paraId="312E0BF6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4. Pipeline Acceleration CTA</w:t>
      </w:r>
    </w:p>
    <w:p w14:paraId="4E8DA13A" w14:textId="77777777" w:rsidR="00FE708F" w:rsidRPr="00FE708F" w:rsidRDefault="00FE708F" w:rsidP="00FE708F">
      <w:r w:rsidRPr="00FE708F">
        <w:t>After explaining pipeline impact.</w:t>
      </w:r>
    </w:p>
    <w:p w14:paraId="2A6F0523" w14:textId="77777777" w:rsidR="00FE708F" w:rsidRPr="00FE708F" w:rsidRDefault="00FE708F" w:rsidP="00FE708F">
      <w:r w:rsidRPr="00FE708F">
        <w:rPr>
          <w:b/>
          <w:bCs/>
        </w:rPr>
        <w:t>CTA</w:t>
      </w:r>
    </w:p>
    <w:p w14:paraId="0024EC1B" w14:textId="77777777" w:rsidR="00FE708F" w:rsidRPr="00FE708F" w:rsidRDefault="00FE708F" w:rsidP="00FE708F">
      <w:r w:rsidRPr="00FE708F">
        <w:rPr>
          <w:b/>
          <w:bCs/>
        </w:rPr>
        <w:t>How IAQ Accelerates Pipeline Conversion →</w:t>
      </w:r>
    </w:p>
    <w:p w14:paraId="238279DD" w14:textId="77777777" w:rsidR="00FE708F" w:rsidRPr="00FE708F" w:rsidRDefault="00FE708F" w:rsidP="00FE708F">
      <w:r w:rsidRPr="00FE708F">
        <w:rPr>
          <w:b/>
          <w:bCs/>
        </w:rPr>
        <w:t>Supporting line</w:t>
      </w:r>
    </w:p>
    <w:p w14:paraId="5F89D3A6" w14:textId="77777777" w:rsidR="00FE708F" w:rsidRPr="00FE708F" w:rsidRDefault="00FE708F" w:rsidP="00FE708F">
      <w:r w:rsidRPr="00FE708F">
        <w:t>Learn how IAQ prioritizes the accounts most likely to close.</w:t>
      </w:r>
    </w:p>
    <w:p w14:paraId="458970A7" w14:textId="77777777" w:rsidR="00FE708F" w:rsidRPr="00FE708F" w:rsidRDefault="00FE708F" w:rsidP="00FE708F">
      <w:r w:rsidRPr="00FE708F">
        <w:pict w14:anchorId="47B471DD">
          <v:rect id="_x0000_i1028" style="width:0;height:1.5pt" o:hralign="center" o:hrstd="t" o:hr="t" fillcolor="#a0a0a0" stroked="f"/>
        </w:pict>
      </w:r>
    </w:p>
    <w:p w14:paraId="44B39F58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5. Sales Leadership CTA</w:t>
      </w:r>
    </w:p>
    <w:p w14:paraId="39F4C34B" w14:textId="77777777" w:rsidR="00FE708F" w:rsidRPr="00FE708F" w:rsidRDefault="00FE708F" w:rsidP="00FE708F">
      <w:r w:rsidRPr="00FE708F">
        <w:t xml:space="preserve">This is aimed at </w:t>
      </w:r>
      <w:r w:rsidRPr="00FE708F">
        <w:rPr>
          <w:b/>
          <w:bCs/>
        </w:rPr>
        <w:t>VP Sales / CRO readers</w:t>
      </w:r>
      <w:r w:rsidRPr="00FE708F">
        <w:t>.</w:t>
      </w:r>
    </w:p>
    <w:p w14:paraId="7DF4E34B" w14:textId="77777777" w:rsidR="00FE708F" w:rsidRPr="00FE708F" w:rsidRDefault="00FE708F" w:rsidP="00FE708F">
      <w:r w:rsidRPr="00FE708F">
        <w:rPr>
          <w:b/>
          <w:bCs/>
        </w:rPr>
        <w:t>CTA</w:t>
      </w:r>
    </w:p>
    <w:p w14:paraId="36C0A64A" w14:textId="77777777" w:rsidR="00FE708F" w:rsidRPr="00FE708F" w:rsidRDefault="00FE708F" w:rsidP="00FE708F">
      <w:r w:rsidRPr="00FE708F">
        <w:rPr>
          <w:b/>
          <w:bCs/>
        </w:rPr>
        <w:t>How Sales Leaders Operationalize IAQ →</w:t>
      </w:r>
    </w:p>
    <w:p w14:paraId="17B82A0B" w14:textId="77777777" w:rsidR="00FE708F" w:rsidRPr="00FE708F" w:rsidRDefault="00FE708F" w:rsidP="00FE708F">
      <w:r w:rsidRPr="00FE708F">
        <w:rPr>
          <w:b/>
          <w:bCs/>
        </w:rPr>
        <w:t>Supporting line</w:t>
      </w:r>
    </w:p>
    <w:p w14:paraId="0F31B493" w14:textId="77777777" w:rsidR="00FE708F" w:rsidRPr="00FE708F" w:rsidRDefault="00FE708F" w:rsidP="00FE708F">
      <w:r w:rsidRPr="00FE708F">
        <w:t>Explore the engagement strategy that aligns marketing, sales, and CRM execution.</w:t>
      </w:r>
    </w:p>
    <w:p w14:paraId="00E9374F" w14:textId="77777777" w:rsidR="00FE708F" w:rsidRPr="00FE708F" w:rsidRDefault="00FE708F" w:rsidP="00FE708F">
      <w:r w:rsidRPr="00FE708F">
        <w:pict w14:anchorId="7080FDA1">
          <v:rect id="_x0000_i1029" style="width:0;height:1.5pt" o:hralign="center" o:hrstd="t" o:hr="t" fillcolor="#a0a0a0" stroked="f"/>
        </w:pict>
      </w:r>
    </w:p>
    <w:p w14:paraId="0DFB8541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6. Mid-Page Educational CTA</w:t>
      </w:r>
    </w:p>
    <w:p w14:paraId="0533C0E5" w14:textId="77777777" w:rsidR="00FE708F" w:rsidRPr="00FE708F" w:rsidRDefault="00FE708F" w:rsidP="00FE708F">
      <w:r w:rsidRPr="00FE708F">
        <w:t>This converts curiosity into deeper reading.</w:t>
      </w:r>
    </w:p>
    <w:p w14:paraId="2D7BCB99" w14:textId="77777777" w:rsidR="00FE708F" w:rsidRPr="00FE708F" w:rsidRDefault="00FE708F" w:rsidP="00FE708F">
      <w:r w:rsidRPr="00FE708F">
        <w:rPr>
          <w:b/>
          <w:bCs/>
        </w:rPr>
        <w:t>CTA Block</w:t>
      </w:r>
    </w:p>
    <w:p w14:paraId="013E89D6" w14:textId="77777777" w:rsidR="00FE708F" w:rsidRPr="00FE708F" w:rsidRDefault="00FE708F" w:rsidP="00FE708F">
      <w:r w:rsidRPr="00FE708F">
        <w:rPr>
          <w:b/>
          <w:bCs/>
        </w:rPr>
        <w:t>Inside the IAQ Engagement Model</w:t>
      </w:r>
    </w:p>
    <w:p w14:paraId="573A7905" w14:textId="77777777" w:rsidR="00FE708F" w:rsidRPr="00FE708F" w:rsidRDefault="00FE708F" w:rsidP="00FE708F">
      <w:r w:rsidRPr="00FE708F">
        <w:t>Discover how IAQ structures the journey from first signal to qualified opportunity.</w:t>
      </w:r>
    </w:p>
    <w:p w14:paraId="7941A5B2" w14:textId="77777777" w:rsidR="00FE708F" w:rsidRPr="00FE708F" w:rsidRDefault="00FE708F" w:rsidP="00FE708F">
      <w:r w:rsidRPr="00FE708F">
        <w:t>Button:</w:t>
      </w:r>
    </w:p>
    <w:p w14:paraId="667E886F" w14:textId="77777777" w:rsidR="00FE708F" w:rsidRPr="00FE708F" w:rsidRDefault="00FE708F" w:rsidP="00FE708F">
      <w:r w:rsidRPr="00FE708F">
        <w:rPr>
          <w:b/>
          <w:bCs/>
        </w:rPr>
        <w:t>Read the IAQ Engagement Playbook →</w:t>
      </w:r>
    </w:p>
    <w:p w14:paraId="1F450462" w14:textId="77777777" w:rsidR="00FE708F" w:rsidRPr="00FE708F" w:rsidRDefault="00FE708F" w:rsidP="00FE708F">
      <w:r w:rsidRPr="00FE708F">
        <w:pict w14:anchorId="1F8EFB3B">
          <v:rect id="_x0000_i1030" style="width:0;height:1.5pt" o:hralign="center" o:hrstd="t" o:hr="t" fillcolor="#a0a0a0" stroked="f"/>
        </w:pict>
      </w:r>
    </w:p>
    <w:p w14:paraId="35C5F952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7. Bottom of Page CTA (Conversion)</w:t>
      </w:r>
    </w:p>
    <w:p w14:paraId="06FA90D7" w14:textId="77777777" w:rsidR="00FE708F" w:rsidRPr="00FE708F" w:rsidRDefault="00FE708F" w:rsidP="00FE708F">
      <w:r w:rsidRPr="00FE708F">
        <w:t>Now shift from learning → engagement.</w:t>
      </w:r>
    </w:p>
    <w:p w14:paraId="5593379C" w14:textId="77777777" w:rsidR="00FE708F" w:rsidRPr="00FE708F" w:rsidRDefault="00FE708F" w:rsidP="00FE708F">
      <w:r w:rsidRPr="00FE708F">
        <w:rPr>
          <w:b/>
          <w:bCs/>
        </w:rPr>
        <w:t>CTA Section</w:t>
      </w:r>
    </w:p>
    <w:p w14:paraId="0BC93BA9" w14:textId="77777777" w:rsidR="00FE708F" w:rsidRPr="00FE708F" w:rsidRDefault="00FE708F" w:rsidP="00FE708F">
      <w:r w:rsidRPr="00FE708F">
        <w:rPr>
          <w:b/>
          <w:bCs/>
        </w:rPr>
        <w:lastRenderedPageBreak/>
        <w:t xml:space="preserve">Turn Account Intelligence </w:t>
      </w:r>
      <w:proofErr w:type="gramStart"/>
      <w:r w:rsidRPr="00FE708F">
        <w:rPr>
          <w:b/>
          <w:bCs/>
        </w:rPr>
        <w:t>Into</w:t>
      </w:r>
      <w:proofErr w:type="gramEnd"/>
      <w:r w:rsidRPr="00FE708F">
        <w:rPr>
          <w:b/>
          <w:bCs/>
        </w:rPr>
        <w:t xml:space="preserve"> Revenue</w:t>
      </w:r>
    </w:p>
    <w:p w14:paraId="420269A8" w14:textId="77777777" w:rsidR="00FE708F" w:rsidRPr="00FE708F" w:rsidRDefault="00FE708F" w:rsidP="00FE708F">
      <w:r w:rsidRPr="00FE708F">
        <w:t>Learn how IAQ engagement strategies identify and prioritize your highest-value accounts.</w:t>
      </w:r>
    </w:p>
    <w:p w14:paraId="719C32C3" w14:textId="77777777" w:rsidR="00FE708F" w:rsidRPr="00FE708F" w:rsidRDefault="00FE708F" w:rsidP="00FE708F">
      <w:r w:rsidRPr="00FE708F">
        <w:t>Buttons:</w:t>
      </w:r>
    </w:p>
    <w:p w14:paraId="10544FCA" w14:textId="77777777" w:rsidR="00FE708F" w:rsidRPr="00FE708F" w:rsidRDefault="00FE708F" w:rsidP="00FE708F">
      <w:r w:rsidRPr="00FE708F">
        <w:rPr>
          <w:b/>
          <w:bCs/>
        </w:rPr>
        <w:t>Explore the Engagement Framework →</w:t>
      </w:r>
    </w:p>
    <w:p w14:paraId="0D85B00F" w14:textId="77777777" w:rsidR="00FE708F" w:rsidRPr="00FE708F" w:rsidRDefault="00FE708F" w:rsidP="00FE708F">
      <w:r w:rsidRPr="00FE708F">
        <w:t>and</w:t>
      </w:r>
    </w:p>
    <w:p w14:paraId="5CBFE15A" w14:textId="77777777" w:rsidR="00FE708F" w:rsidRPr="00FE708F" w:rsidRDefault="00FE708F" w:rsidP="00FE708F">
      <w:r w:rsidRPr="00FE708F">
        <w:rPr>
          <w:b/>
          <w:bCs/>
        </w:rPr>
        <w:t>Schedule an IAQ Strategy Session</w:t>
      </w:r>
    </w:p>
    <w:p w14:paraId="4835127C" w14:textId="77777777" w:rsidR="00FE708F" w:rsidRPr="00FE708F" w:rsidRDefault="00FE708F" w:rsidP="00FE708F">
      <w:r w:rsidRPr="00FE708F">
        <w:pict w14:anchorId="4B48D615">
          <v:rect id="_x0000_i1031" style="width:0;height:1.5pt" o:hralign="center" o:hrstd="t" o:hr="t" fillcolor="#a0a0a0" stroked="f"/>
        </w:pict>
      </w:r>
    </w:p>
    <w:p w14:paraId="37130241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t>Recommended CTA Layout on the Page</w:t>
      </w:r>
    </w:p>
    <w:p w14:paraId="6F4A3DF8" w14:textId="77777777" w:rsidR="00FE708F" w:rsidRPr="00FE708F" w:rsidRDefault="00FE708F" w:rsidP="00FE708F">
      <w:r w:rsidRPr="00FE708F">
        <w:t>Hero Section</w:t>
      </w:r>
      <w:r w:rsidRPr="00FE708F">
        <w:br/>
        <w:t xml:space="preserve">   ↓</w:t>
      </w:r>
      <w:r w:rsidRPr="00FE708F">
        <w:br/>
        <w:t>Explore the IAQ Engagement Framework</w:t>
      </w:r>
      <w:r w:rsidRPr="00FE708F">
        <w:br/>
      </w:r>
      <w:r w:rsidRPr="00FE708F">
        <w:br/>
        <w:t>What is IAQ</w:t>
      </w:r>
      <w:r w:rsidRPr="00FE708F">
        <w:br/>
        <w:t xml:space="preserve">   ↓</w:t>
      </w:r>
      <w:r w:rsidRPr="00FE708F">
        <w:br/>
        <w:t>Learn How IAQ Drives Account Engagement</w:t>
      </w:r>
      <w:r w:rsidRPr="00FE708F">
        <w:br/>
      </w:r>
      <w:r w:rsidRPr="00FE708F">
        <w:br/>
        <w:t>Lead Identification</w:t>
      </w:r>
      <w:r w:rsidRPr="00FE708F">
        <w:br/>
        <w:t xml:space="preserve">   ↓</w:t>
      </w:r>
      <w:r w:rsidRPr="00FE708F">
        <w:br/>
        <w:t>See the IAQ Engagement Workflow</w:t>
      </w:r>
      <w:r w:rsidRPr="00FE708F">
        <w:br/>
      </w:r>
      <w:r w:rsidRPr="00FE708F">
        <w:br/>
        <w:t>Pipeline Acceleration</w:t>
      </w:r>
      <w:r w:rsidRPr="00FE708F">
        <w:br/>
        <w:t xml:space="preserve">   ↓</w:t>
      </w:r>
      <w:r w:rsidRPr="00FE708F">
        <w:br/>
        <w:t>How IAQ Accelerates Pipeline Conversion</w:t>
      </w:r>
      <w:r w:rsidRPr="00FE708F">
        <w:br/>
      </w:r>
      <w:r w:rsidRPr="00FE708F">
        <w:br/>
        <w:t>Educational Section</w:t>
      </w:r>
      <w:r w:rsidRPr="00FE708F">
        <w:br/>
        <w:t xml:space="preserve">   ↓</w:t>
      </w:r>
      <w:r w:rsidRPr="00FE708F">
        <w:br/>
        <w:t>Read the IAQ Engagement Playbook</w:t>
      </w:r>
      <w:r w:rsidRPr="00FE708F">
        <w:br/>
      </w:r>
      <w:r w:rsidRPr="00FE708F">
        <w:br/>
        <w:t>Bottom Section</w:t>
      </w:r>
      <w:r w:rsidRPr="00FE708F">
        <w:br/>
        <w:t xml:space="preserve">   ↓</w:t>
      </w:r>
      <w:r w:rsidRPr="00FE708F">
        <w:br/>
        <w:t>Explore the Engagement Framework</w:t>
      </w:r>
      <w:r w:rsidRPr="00FE708F">
        <w:br/>
        <w:t>Schedule an IAQ Strategy Session</w:t>
      </w:r>
    </w:p>
    <w:p w14:paraId="0E384271" w14:textId="77777777" w:rsidR="00FE708F" w:rsidRPr="00FE708F" w:rsidRDefault="00FE708F" w:rsidP="00FE708F">
      <w:r w:rsidRPr="00FE708F">
        <w:pict w14:anchorId="4449C0B1">
          <v:rect id="_x0000_i1032" style="width:0;height:1.5pt" o:hralign="center" o:hrstd="t" o:hr="t" fillcolor="#a0a0a0" stroked="f"/>
        </w:pict>
      </w:r>
    </w:p>
    <w:p w14:paraId="1F599988" w14:textId="77777777" w:rsidR="00FE708F" w:rsidRPr="00FE708F" w:rsidRDefault="00FE708F" w:rsidP="00FE708F">
      <w:pPr>
        <w:rPr>
          <w:b/>
          <w:bCs/>
        </w:rPr>
      </w:pPr>
      <w:r w:rsidRPr="00FE708F">
        <w:rPr>
          <w:b/>
          <w:bCs/>
        </w:rPr>
        <w:lastRenderedPageBreak/>
        <w:t>One More Important Strategic Move</w:t>
      </w:r>
    </w:p>
    <w:p w14:paraId="4B63BDE3" w14:textId="77777777" w:rsidR="00FE708F" w:rsidRPr="00FE708F" w:rsidRDefault="00FE708F" w:rsidP="00FE708F">
      <w:r w:rsidRPr="00FE708F">
        <w:t xml:space="preserve">Your IAQ pages should follow this </w:t>
      </w:r>
      <w:r w:rsidRPr="00FE708F">
        <w:rPr>
          <w:b/>
          <w:bCs/>
        </w:rPr>
        <w:t>consulting authority structure</w:t>
      </w:r>
      <w:r w:rsidRPr="00FE708F">
        <w:t>:</w:t>
      </w:r>
    </w:p>
    <w:p w14:paraId="4C78923E" w14:textId="77777777" w:rsidR="00FE708F" w:rsidRPr="00FE708F" w:rsidRDefault="00FE708F" w:rsidP="00FE708F">
      <w:r w:rsidRPr="00FE708F">
        <w:t>IAQ Framework Page</w:t>
      </w:r>
      <w:r w:rsidRPr="00FE708F">
        <w:br/>
        <w:t xml:space="preserve">      ↓</w:t>
      </w:r>
      <w:r w:rsidRPr="00FE708F">
        <w:br/>
        <w:t>IAQ Engagement Page</w:t>
      </w:r>
      <w:r w:rsidRPr="00FE708F">
        <w:br/>
        <w:t xml:space="preserve">      ↓</w:t>
      </w:r>
      <w:r w:rsidRPr="00FE708F">
        <w:br/>
        <w:t>IAQ Maturity Model</w:t>
      </w:r>
      <w:r w:rsidRPr="00FE708F">
        <w:br/>
        <w:t xml:space="preserve">      ↓</w:t>
      </w:r>
      <w:r w:rsidRPr="00FE708F">
        <w:br/>
        <w:t>IAQ Assessment</w:t>
      </w:r>
      <w:r w:rsidRPr="00FE708F">
        <w:br/>
        <w:t xml:space="preserve">      ↓</w:t>
      </w:r>
      <w:r w:rsidRPr="00FE708F">
        <w:br/>
        <w:t>IAQ Strategy Workshop</w:t>
      </w:r>
    </w:p>
    <w:p w14:paraId="488F3A20" w14:textId="77777777" w:rsidR="00FE708F" w:rsidRPr="00FE708F" w:rsidRDefault="00FE708F" w:rsidP="00FE708F">
      <w:r w:rsidRPr="00FE708F">
        <w:t xml:space="preserve">This creates </w:t>
      </w:r>
      <w:proofErr w:type="gramStart"/>
      <w:r w:rsidRPr="00FE708F">
        <w:t>the</w:t>
      </w:r>
      <w:proofErr w:type="gramEnd"/>
      <w:r w:rsidRPr="00FE708F">
        <w:t xml:space="preserve"> </w:t>
      </w:r>
      <w:r w:rsidRPr="00FE708F">
        <w:rPr>
          <w:b/>
          <w:bCs/>
        </w:rPr>
        <w:t>$250K consulting funnel.</w:t>
      </w:r>
    </w:p>
    <w:p w14:paraId="39B5C327" w14:textId="77777777" w:rsidR="00FE708F" w:rsidRPr="00FE708F" w:rsidRDefault="00FE708F" w:rsidP="00FE708F">
      <w:r w:rsidRPr="00FE708F">
        <w:t>Framework → Education → Assessment → Engagement.</w:t>
      </w:r>
    </w:p>
    <w:p w14:paraId="0D0C8DBB" w14:textId="77777777" w:rsidR="00FE708F" w:rsidRPr="00FE708F" w:rsidRDefault="00FE708F" w:rsidP="00FE708F">
      <w:r w:rsidRPr="00FE708F">
        <w:pict w14:anchorId="5C7210B4">
          <v:rect id="_x0000_i1033" style="width:0;height:1.5pt" o:hralign="center" o:hrstd="t" o:hr="t" fillcolor="#a0a0a0" stroked="f"/>
        </w:pict>
      </w:r>
    </w:p>
    <w:p w14:paraId="35A5FB40" w14:textId="77777777" w:rsidR="00FE708F" w:rsidRPr="00FE708F" w:rsidRDefault="00FE708F" w:rsidP="00FE708F">
      <w:r w:rsidRPr="00FE708F">
        <w:rPr>
          <w:rFonts w:ascii="Segoe UI Emoji" w:hAnsi="Segoe UI Emoji" w:cs="Segoe UI Emoji"/>
        </w:rPr>
        <w:t>💡</w:t>
      </w:r>
      <w:r w:rsidRPr="00FE708F">
        <w:t xml:space="preserve"> </w:t>
      </w:r>
      <w:r w:rsidRPr="00FE708F">
        <w:rPr>
          <w:b/>
          <w:bCs/>
        </w:rPr>
        <w:t>My recommendation:</w:t>
      </w:r>
      <w:r w:rsidRPr="00FE708F">
        <w:br/>
        <w:t>Rename the Engagement page slightly for more authority:</w:t>
      </w:r>
    </w:p>
    <w:p w14:paraId="3BA4A88E" w14:textId="77777777" w:rsidR="00FE708F" w:rsidRPr="00FE708F" w:rsidRDefault="00FE708F" w:rsidP="00FE708F">
      <w:r w:rsidRPr="00FE708F">
        <w:rPr>
          <w:b/>
          <w:bCs/>
        </w:rPr>
        <w:t>“IAQ Engagement Framework™”</w:t>
      </w:r>
      <w:r w:rsidRPr="00FE708F">
        <w:br/>
        <w:t>or</w:t>
      </w:r>
      <w:r w:rsidRPr="00FE708F">
        <w:br/>
      </w:r>
      <w:r w:rsidRPr="00FE708F">
        <w:rPr>
          <w:b/>
          <w:bCs/>
        </w:rPr>
        <w:t>“IAQ Revenue Engagement Model™”</w:t>
      </w:r>
    </w:p>
    <w:p w14:paraId="36E3356A" w14:textId="77777777" w:rsidR="00FE708F" w:rsidRPr="00FE708F" w:rsidRDefault="00FE708F" w:rsidP="00FE708F">
      <w:r w:rsidRPr="00FE708F">
        <w:t xml:space="preserve">It will feel more like a </w:t>
      </w:r>
      <w:r w:rsidRPr="00FE708F">
        <w:rPr>
          <w:b/>
          <w:bCs/>
        </w:rPr>
        <w:t>Gartner-style methodology</w:t>
      </w:r>
      <w:r w:rsidRPr="00FE708F">
        <w:t>, not just a supporting page.</w:t>
      </w:r>
    </w:p>
    <w:p w14:paraId="7325716C" w14:textId="696BA448" w:rsidR="00572455" w:rsidRDefault="00190C05">
      <w:r>
        <w:t xml:space="preserve"> </w:t>
      </w:r>
    </w:p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8F"/>
    <w:rsid w:val="00183C09"/>
    <w:rsid w:val="00190C05"/>
    <w:rsid w:val="004F0589"/>
    <w:rsid w:val="00572455"/>
    <w:rsid w:val="00DA7AF5"/>
    <w:rsid w:val="00FD23BB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9B38"/>
  <w15:chartTrackingRefBased/>
  <w15:docId w15:val="{6AE46557-BE58-4EE2-8E9F-EBA81D12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349</Words>
  <Characters>2393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1</cp:revision>
  <dcterms:created xsi:type="dcterms:W3CDTF">2026-03-13T18:10:00Z</dcterms:created>
  <dcterms:modified xsi:type="dcterms:W3CDTF">2026-03-13T21:35:00Z</dcterms:modified>
</cp:coreProperties>
</file>