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BCFE" w14:textId="77777777" w:rsidR="00A0227B" w:rsidRPr="00A0227B" w:rsidRDefault="00A0227B" w:rsidP="00A0227B">
      <w:r w:rsidRPr="00A0227B">
        <w:t>CTA placement in clean website copy format.</w:t>
      </w:r>
    </w:p>
    <w:p w14:paraId="0D8F5C67" w14:textId="77777777" w:rsidR="00A0227B" w:rsidRPr="00A0227B" w:rsidRDefault="00A0227B" w:rsidP="00A0227B">
      <w:r w:rsidRPr="00A0227B">
        <w:rPr>
          <w:b/>
          <w:bCs/>
        </w:rPr>
        <w:t>Hero Section</w:t>
      </w:r>
      <w:r w:rsidRPr="00A0227B">
        <w:br/>
        <w:t>Keep your existing primary CTA:</w:t>
      </w:r>
      <w:r w:rsidRPr="00A0227B">
        <w:br/>
      </w:r>
      <w:r w:rsidRPr="00A0227B">
        <w:rPr>
          <w:b/>
          <w:bCs/>
        </w:rPr>
        <w:t>Request an IAQ Executive Briefing</w:t>
      </w:r>
    </w:p>
    <w:p w14:paraId="4FD8A645" w14:textId="77777777" w:rsidR="00A0227B" w:rsidRPr="00A0227B" w:rsidRDefault="00A0227B" w:rsidP="00A0227B">
      <w:r w:rsidRPr="00A0227B">
        <w:t>Add a secondary CTA beside or beneath it:</w:t>
      </w:r>
      <w:r w:rsidRPr="00A0227B">
        <w:br/>
      </w:r>
      <w:r w:rsidRPr="00A0227B">
        <w:rPr>
          <w:b/>
          <w:bCs/>
        </w:rPr>
        <w:t>Explore the IAQ Engagement Framework →</w:t>
      </w:r>
      <w:r w:rsidRPr="00A0227B">
        <w:br/>
        <w:t>See how IAQ identifies, nurtures, and converts high-value accounts.</w:t>
      </w:r>
    </w:p>
    <w:p w14:paraId="456F9083" w14:textId="77777777" w:rsidR="00A0227B" w:rsidRPr="00A0227B" w:rsidRDefault="00A0227B" w:rsidP="00A0227B">
      <w:r w:rsidRPr="00A0227B">
        <w:rPr>
          <w:b/>
          <w:bCs/>
        </w:rPr>
        <w:t>Section 1 — The Hidden Crisis in Most Sales Pipelines</w:t>
      </w:r>
      <w:r w:rsidRPr="00A0227B">
        <w:br/>
        <w:t>Add at the bottom of the section:</w:t>
      </w:r>
      <w:r w:rsidRPr="00A0227B">
        <w:br/>
      </w:r>
      <w:r w:rsidRPr="00A0227B">
        <w:rPr>
          <w:b/>
          <w:bCs/>
        </w:rPr>
        <w:t>How IAQ Improves Account Engagement →</w:t>
      </w:r>
      <w:r w:rsidRPr="00A0227B">
        <w:br/>
        <w:t>Learn how qualified accounts are nurtured and advanced through the IAQ engagement process.</w:t>
      </w:r>
    </w:p>
    <w:p w14:paraId="6407DD8F" w14:textId="77777777" w:rsidR="00A0227B" w:rsidRPr="00A0227B" w:rsidRDefault="00A0227B" w:rsidP="00A0227B">
      <w:r w:rsidRPr="00A0227B">
        <w:rPr>
          <w:b/>
          <w:bCs/>
        </w:rPr>
        <w:t>Section 2 — Introducing the IAQ Framework™</w:t>
      </w:r>
      <w:r w:rsidRPr="00A0227B">
        <w:br/>
        <w:t>Add after the qualification dimensions content:</w:t>
      </w:r>
      <w:r w:rsidRPr="00A0227B">
        <w:br/>
      </w:r>
      <w:r w:rsidRPr="00A0227B">
        <w:rPr>
          <w:b/>
          <w:bCs/>
        </w:rPr>
        <w:t>Explore the IAQ Engagement Model →</w:t>
      </w:r>
      <w:r w:rsidRPr="00A0227B">
        <w:br/>
        <w:t xml:space="preserve">Discover how </w:t>
      </w:r>
      <w:proofErr w:type="gramStart"/>
      <w:r w:rsidRPr="00A0227B">
        <w:t>these qualification</w:t>
      </w:r>
      <w:proofErr w:type="gramEnd"/>
      <w:r w:rsidRPr="00A0227B">
        <w:t xml:space="preserve"> dimensions guide real sales engagement strategies.</w:t>
      </w:r>
    </w:p>
    <w:p w14:paraId="1CCBAD57" w14:textId="77777777" w:rsidR="00A0227B" w:rsidRPr="00A0227B" w:rsidRDefault="00A0227B" w:rsidP="00A0227B">
      <w:r w:rsidRPr="00A0227B">
        <w:rPr>
          <w:b/>
          <w:bCs/>
        </w:rPr>
        <w:t>Section 3 — The IAQ Qualification Funnel</w:t>
      </w:r>
      <w:r w:rsidRPr="00A0227B">
        <w:br/>
        <w:t>Add after the funnel explanation:</w:t>
      </w:r>
      <w:r w:rsidRPr="00A0227B">
        <w:br/>
      </w:r>
      <w:r w:rsidRPr="00A0227B">
        <w:rPr>
          <w:b/>
          <w:bCs/>
        </w:rPr>
        <w:t>See the IAQ Engagement Workflow →</w:t>
      </w:r>
      <w:r w:rsidRPr="00A0227B">
        <w:br/>
        <w:t>Understand how accounts move from early signals to qualified opportunities.</w:t>
      </w:r>
    </w:p>
    <w:p w14:paraId="4CC595C8" w14:textId="77777777" w:rsidR="00A0227B" w:rsidRPr="00A0227B" w:rsidRDefault="00A0227B" w:rsidP="00A0227B">
      <w:r w:rsidRPr="00A0227B">
        <w:rPr>
          <w:b/>
          <w:bCs/>
        </w:rPr>
        <w:t>Section 4 — The IAQ Scoring Engine</w:t>
      </w:r>
      <w:r w:rsidRPr="00A0227B">
        <w:br/>
        <w:t>Add at the bottom of the section:</w:t>
      </w:r>
      <w:r w:rsidRPr="00A0227B">
        <w:br/>
      </w:r>
      <w:r w:rsidRPr="00A0227B">
        <w:rPr>
          <w:b/>
          <w:bCs/>
        </w:rPr>
        <w:t>How IAQ Prioritizes Sales Engagement →</w:t>
      </w:r>
      <w:r w:rsidRPr="00A0227B">
        <w:br/>
        <w:t>See how IAQ scores determine where sellers should focus their time.</w:t>
      </w:r>
    </w:p>
    <w:p w14:paraId="530FF5D1" w14:textId="77777777" w:rsidR="00A0227B" w:rsidRPr="00A0227B" w:rsidRDefault="00A0227B" w:rsidP="00A0227B">
      <w:r w:rsidRPr="00A0227B">
        <w:rPr>
          <w:b/>
          <w:bCs/>
        </w:rPr>
        <w:t>Section 5 — IAQ Inside the CRM</w:t>
      </w:r>
      <w:r w:rsidRPr="00A0227B">
        <w:br/>
        <w:t>Add after the CRM capability content:</w:t>
      </w:r>
      <w:r w:rsidRPr="00A0227B">
        <w:br/>
      </w:r>
      <w:r w:rsidRPr="00A0227B">
        <w:rPr>
          <w:b/>
          <w:bCs/>
        </w:rPr>
        <w:t>How IAQ Drives CRM Engagement →</w:t>
      </w:r>
      <w:r w:rsidRPr="00A0227B">
        <w:br/>
        <w:t>Learn how qualification intelligence activates sales workflows inside the CRM.</w:t>
      </w:r>
    </w:p>
    <w:p w14:paraId="26563CCD" w14:textId="77777777" w:rsidR="00A0227B" w:rsidRPr="00A0227B" w:rsidRDefault="00A0227B" w:rsidP="00A0227B">
      <w:r w:rsidRPr="00A0227B">
        <w:rPr>
          <w:b/>
          <w:bCs/>
        </w:rPr>
        <w:t>Section 6 — Business Impact</w:t>
      </w:r>
      <w:r w:rsidRPr="00A0227B">
        <w:br/>
        <w:t>Add after the results table:</w:t>
      </w:r>
      <w:r w:rsidRPr="00A0227B">
        <w:br/>
      </w:r>
      <w:r w:rsidRPr="00A0227B">
        <w:rPr>
          <w:b/>
          <w:bCs/>
        </w:rPr>
        <w:t>See How IAQ Engagement Drives These Results →</w:t>
      </w:r>
      <w:r w:rsidRPr="00A0227B">
        <w:br/>
        <w:t>Explore the engagement strategies behind these performance improvements.</w:t>
      </w:r>
    </w:p>
    <w:p w14:paraId="55675133" w14:textId="77777777" w:rsidR="00A0227B" w:rsidRPr="00A0227B" w:rsidRDefault="00A0227B" w:rsidP="00A0227B">
      <w:r w:rsidRPr="00A0227B">
        <w:rPr>
          <w:b/>
          <w:bCs/>
        </w:rPr>
        <w:t>Section 7 — IAQ Transformation Program</w:t>
      </w:r>
      <w:r w:rsidRPr="00A0227B">
        <w:br/>
        <w:t>Add after Phase 4:</w:t>
      </w:r>
      <w:r w:rsidRPr="00A0227B">
        <w:br/>
      </w:r>
      <w:r w:rsidRPr="00A0227B">
        <w:rPr>
          <w:b/>
          <w:bCs/>
        </w:rPr>
        <w:lastRenderedPageBreak/>
        <w:t>Inside the IAQ Engagement Playbook →</w:t>
      </w:r>
      <w:r w:rsidRPr="00A0227B">
        <w:br/>
        <w:t>Explore how organizations operationalize IAQ engagement across sales teams.</w:t>
      </w:r>
    </w:p>
    <w:p w14:paraId="77A2EB5D" w14:textId="77777777" w:rsidR="00A0227B" w:rsidRPr="00A0227B" w:rsidRDefault="00A0227B" w:rsidP="00A0227B">
      <w:r w:rsidRPr="00A0227B">
        <w:rPr>
          <w:b/>
          <w:bCs/>
        </w:rPr>
        <w:t>Section 9 — IAQ Executive Assessment</w:t>
      </w:r>
      <w:r w:rsidRPr="00A0227B">
        <w:br/>
        <w:t>Add after the assessment description:</w:t>
      </w:r>
      <w:r w:rsidRPr="00A0227B">
        <w:br/>
      </w:r>
      <w:r w:rsidRPr="00A0227B">
        <w:rPr>
          <w:b/>
          <w:bCs/>
        </w:rPr>
        <w:t>Understand the IAQ Engagement Model Before Your Assessment →</w:t>
      </w:r>
      <w:r w:rsidRPr="00A0227B">
        <w:br/>
        <w:t>Review the engagement framework used to evaluate pipeline health.</w:t>
      </w:r>
    </w:p>
    <w:p w14:paraId="402C46D2" w14:textId="77777777" w:rsidR="00A0227B" w:rsidRPr="00A0227B" w:rsidRDefault="00A0227B" w:rsidP="00A0227B">
      <w:r w:rsidRPr="00A0227B">
        <w:rPr>
          <w:b/>
          <w:bCs/>
        </w:rPr>
        <w:t>Final CTA Section</w:t>
      </w:r>
      <w:r w:rsidRPr="00A0227B">
        <w:br/>
        <w:t>Keep your existing conversion CTA, but expand it into three options:</w:t>
      </w:r>
    </w:p>
    <w:p w14:paraId="7DA5BFD3" w14:textId="77777777" w:rsidR="00A0227B" w:rsidRPr="00A0227B" w:rsidRDefault="00A0227B" w:rsidP="00A0227B">
      <w:r w:rsidRPr="00A0227B">
        <w:t>Primary CTA:</w:t>
      </w:r>
      <w:r w:rsidRPr="00A0227B">
        <w:br/>
      </w:r>
      <w:r w:rsidRPr="00A0227B">
        <w:rPr>
          <w:b/>
          <w:bCs/>
        </w:rPr>
        <w:t>Schedule an IAQ Strategy Session</w:t>
      </w:r>
    </w:p>
    <w:p w14:paraId="5ABD042D" w14:textId="77777777" w:rsidR="00A0227B" w:rsidRPr="00A0227B" w:rsidRDefault="00A0227B" w:rsidP="00A0227B">
      <w:r w:rsidRPr="00A0227B">
        <w:t>Secondary CTA:</w:t>
      </w:r>
      <w:r w:rsidRPr="00A0227B">
        <w:br/>
      </w:r>
      <w:r w:rsidRPr="00A0227B">
        <w:rPr>
          <w:b/>
          <w:bCs/>
        </w:rPr>
        <w:t>Request an IAQ Executive Briefing</w:t>
      </w:r>
    </w:p>
    <w:p w14:paraId="20561C60" w14:textId="77777777" w:rsidR="00A0227B" w:rsidRPr="00A0227B" w:rsidRDefault="00A0227B" w:rsidP="00A0227B">
      <w:r w:rsidRPr="00A0227B">
        <w:t>Educational CTA:</w:t>
      </w:r>
      <w:r w:rsidRPr="00A0227B">
        <w:br/>
      </w:r>
      <w:r w:rsidRPr="00A0227B">
        <w:rPr>
          <w:b/>
          <w:bCs/>
        </w:rPr>
        <w:t>Explore the IAQ Engagement Framework →</w:t>
      </w:r>
    </w:p>
    <w:p w14:paraId="228B432D" w14:textId="77777777" w:rsidR="00A0227B" w:rsidRPr="00A0227B" w:rsidRDefault="00A0227B" w:rsidP="00A0227B">
      <w:r w:rsidRPr="00A0227B">
        <w:t>The cleanest approach is this:</w:t>
      </w:r>
      <w:r w:rsidRPr="00A0227B">
        <w:br/>
        <w:t xml:space="preserve">Use </w:t>
      </w:r>
      <w:r w:rsidRPr="00A0227B">
        <w:rPr>
          <w:b/>
          <w:bCs/>
        </w:rPr>
        <w:t>Request an IAQ Executive Briefing</w:t>
      </w:r>
      <w:r w:rsidRPr="00A0227B">
        <w:t xml:space="preserve"> and </w:t>
      </w:r>
      <w:r w:rsidRPr="00A0227B">
        <w:rPr>
          <w:b/>
          <w:bCs/>
        </w:rPr>
        <w:t>Schedule an IAQ Strategy Session</w:t>
      </w:r>
      <w:r w:rsidRPr="00A0227B">
        <w:t xml:space="preserve"> for buyers who are ready to engage, and use </w:t>
      </w:r>
      <w:r w:rsidRPr="00A0227B">
        <w:rPr>
          <w:b/>
          <w:bCs/>
        </w:rPr>
        <w:t>Explore the IAQ Engagement Framework</w:t>
      </w:r>
      <w:r w:rsidRPr="00A0227B">
        <w:t xml:space="preserve"> throughout the page for buyers who still need confidence in the methodology.</w:t>
      </w:r>
    </w:p>
    <w:p w14:paraId="539CE6F2" w14:textId="77777777" w:rsidR="00A0227B" w:rsidRPr="00A0227B" w:rsidRDefault="00A0227B" w:rsidP="00A0227B">
      <w:r w:rsidRPr="00A0227B">
        <w:t>The stronger phrasing for the bridge CTA is:</w:t>
      </w:r>
      <w:r w:rsidRPr="00A0227B">
        <w:br/>
      </w:r>
      <w:r w:rsidRPr="00A0227B">
        <w:rPr>
          <w:b/>
          <w:bCs/>
        </w:rPr>
        <w:t>Explore the IAQ Engagement Framework →</w:t>
      </w:r>
    </w:p>
    <w:p w14:paraId="470CF9BE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B"/>
    <w:rsid w:val="001E15B3"/>
    <w:rsid w:val="004F0589"/>
    <w:rsid w:val="00572455"/>
    <w:rsid w:val="00A0227B"/>
    <w:rsid w:val="00DA7AF5"/>
    <w:rsid w:val="00F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0A25"/>
  <w15:chartTrackingRefBased/>
  <w15:docId w15:val="{2395D8FB-CAA9-4476-8E52-F6D9119F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2007</Characters>
  <Application>Microsoft Office Word</Application>
  <DocSecurity>0</DocSecurity>
  <Lines>54</Lines>
  <Paragraphs>17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3</cp:revision>
  <dcterms:created xsi:type="dcterms:W3CDTF">2026-03-15T04:12:00Z</dcterms:created>
  <dcterms:modified xsi:type="dcterms:W3CDTF">2026-03-15T04:17:00Z</dcterms:modified>
</cp:coreProperties>
</file>